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静脉输液实训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练习、回示等</w:t>
      </w:r>
      <w:r>
        <w:rPr>
          <w:sz w:val="21"/>
          <w:szCs w:val="21"/>
        </w:rPr>
        <w:t xml:space="preserve">     </w:t>
      </w:r>
    </w:p>
    <w:p>
      <w:pPr>
        <w:rPr>
          <w:b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/>
        </w:rPr>
        <w:t>注射盘内：注射器（规格视药量而定）、6~9号针头或头皮针、安尔碘或2%碘酊、70~75%酒精、无菌棉签、止血带、注射用小垫枕、胶布2~3根、注射卡及药液</w:t>
      </w:r>
      <w:r>
        <w:rPr>
          <w:rFonts w:hint="eastAsia"/>
          <w:lang w:eastAsia="zh-CN"/>
        </w:rPr>
        <w:t>；</w:t>
      </w:r>
    </w:p>
    <w:p>
      <w:pPr>
        <w:ind w:firstLine="1260" w:firstLineChars="600"/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弯盘。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能力目标：熟练</w:t>
      </w:r>
      <w:r>
        <w:rPr>
          <w:rFonts w:hint="eastAsia" w:ascii="宋体" w:hAnsi="宋体"/>
          <w:sz w:val="21"/>
          <w:szCs w:val="21"/>
          <w:shd w:val="clear" w:color="auto" w:fill="auto"/>
        </w:rPr>
        <w:t>掌握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静脉输液</w:t>
      </w:r>
      <w:r>
        <w:rPr>
          <w:rFonts w:hint="eastAsia" w:ascii="宋体" w:hAnsi="宋体"/>
          <w:sz w:val="21"/>
          <w:szCs w:val="21"/>
          <w:shd w:val="clear" w:color="auto" w:fill="auto"/>
        </w:rPr>
        <w:t>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shd w:val="clear" w:color="auto" w:fill="auto"/>
          <w:lang w:val="en-US" w:eastAsia="zh-CN"/>
        </w:rPr>
        <w:t>2.知</w:t>
      </w:r>
      <w:r>
        <w:rPr>
          <w:rFonts w:hint="eastAsia" w:ascii="宋体" w:hAnsi="宋体"/>
          <w:sz w:val="21"/>
          <w:szCs w:val="21"/>
          <w:lang w:val="en-US" w:eastAsia="zh-CN"/>
        </w:rPr>
        <w:t>识目标：掌握常用静脉选择；瓶口、皮肤消毒方法；排气及进针手法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3.素质目标：关心患者，动作熟练、轻稳，体现护理操作美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【教学重点】1.应用护理程序进行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静脉输液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【教学难点】1.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一次排气成功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无菌观念的培养</w:t>
      </w:r>
    </w:p>
    <w:p>
      <w:pPr>
        <w:numPr>
          <w:ilvl w:val="0"/>
          <w:numId w:val="1"/>
        </w:num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一次穿刺成功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【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实训</w:t>
      </w:r>
      <w:r>
        <w:rPr>
          <w:rFonts w:hint="eastAsia" w:ascii="宋体" w:hAnsi="宋体"/>
          <w:b/>
          <w:bCs/>
          <w:sz w:val="21"/>
          <w:szCs w:val="21"/>
        </w:rPr>
        <w:t>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hint="eastAsia" w:ascii="宋体" w:hAnsi="宋体"/>
          <w:sz w:val="21"/>
          <w:szCs w:val="21"/>
          <w:lang w:eastAsia="zh-CN"/>
        </w:rPr>
        <w:t>回顾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回顾静脉输液的操作流程</w:t>
      </w:r>
      <w:r>
        <w:rPr>
          <w:rFonts w:ascii="宋体" w:hAnsi="宋体"/>
          <w:sz w:val="21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Ⅲ.分组练习（100分钟）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一、每组组长领取、清点操作物品后分发给组员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二、学生分组练习，教师巡视、指导，解答学生疑问</w:t>
      </w:r>
    </w:p>
    <w:p>
      <w:pPr>
        <w:adjustRightInd w:val="0"/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bCs/>
          <w:sz w:val="21"/>
          <w:szCs w:val="21"/>
        </w:rPr>
        <w:t>临床情境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张立，男，38岁。主诉：全身皮肤出现红色斑块伴瘙痒1天。诊断：荨麻疹。医嘱：    14:00  10床  张立  10％葡萄糖酸钙  10m1  IV  st</w: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（二）</w:t>
      </w:r>
      <w:r>
        <w:rPr>
          <w:rFonts w:hint="eastAsia" w:ascii="宋体" w:hAnsi="宋体"/>
          <w:b/>
          <w:sz w:val="21"/>
          <w:szCs w:val="21"/>
        </w:rPr>
        <w:t>操作流程与语言沟通</w: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1905</wp:posOffset>
                </wp:positionV>
                <wp:extent cx="3429000" cy="6637020"/>
                <wp:effectExtent l="0" t="0" r="0" b="0"/>
                <wp:wrapNone/>
                <wp:docPr id="2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6637020"/>
                          <a:chOff x="4650" y="3213"/>
                          <a:chExt cx="5400" cy="10452"/>
                        </a:xfrm>
                      </wpg:grpSpPr>
                      <wps:wsp>
                        <wps:cNvPr id="13" name="文本框 3"/>
                        <wps:cNvSpPr txBox="1"/>
                        <wps:spPr>
                          <a:xfrm>
                            <a:off x="4650" y="3213"/>
                            <a:ext cx="5400" cy="1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310" w:firstLineChars="1100"/>
                              </w:pPr>
                              <w:r>
                                <w:rPr>
                                  <w:rFonts w:hint="eastAsia"/>
                                </w:rPr>
                                <w:t>评估</w:t>
                              </w:r>
                            </w:p>
                            <w:p>
                              <w:pPr>
                                <w:ind w:firstLine="2205" w:firstLineChars="1050"/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 xml:space="preserve">                     核   对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注射单及医嘱：病人床号、姓名、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           药名、剂量、浓度、用法、时间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 xml:space="preserve">                    备齐用物</w:t>
                              </w:r>
                            </w:p>
                            <w:p>
                              <w:pPr>
                                <w:ind w:firstLine="450" w:firstLineChars="2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核对药液标签：          注射盘：铺无菌盘，抽取药液</w:t>
                              </w:r>
                            </w:p>
                            <w:p>
                              <w:pPr>
                                <w:ind w:firstLine="810" w:firstLineChars="4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药名、剂量、浓度、    放无菌盘内，并携至病人床边         </w:t>
                              </w:r>
                            </w:p>
                            <w:p>
                              <w:pPr>
                                <w:ind w:firstLine="810" w:firstLineChars="4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有效期                             </w:t>
                              </w:r>
                            </w:p>
                            <w:p>
                              <w:pPr>
                                <w:ind w:left="3330" w:hanging="3330" w:hangingChars="18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检查：瓶身、安瓿有无</w:t>
                              </w:r>
                            </w:p>
                            <w:p>
                              <w:pPr>
                                <w:ind w:firstLine="900" w:firstLineChars="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破损，配伍禁忌，</w:t>
                              </w:r>
                            </w:p>
                            <w:p>
                              <w:pPr>
                                <w:ind w:firstLine="900" w:firstLineChars="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药液有无变质  </w:t>
                              </w:r>
                            </w:p>
                            <w:p>
                              <w:pPr>
                                <w:ind w:firstLine="1890" w:firstLineChars="10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病人准备</w:t>
                              </w:r>
                            </w:p>
                            <w:p>
                              <w:pPr>
                                <w:ind w:left="3334" w:leftChars="602" w:hanging="2070" w:hangingChars="11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核对、解释</w:t>
                              </w:r>
                            </w:p>
                            <w:p>
                              <w:pPr>
                                <w:ind w:firstLine="450" w:firstLineChars="25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ind w:firstLine="1995" w:firstLineChars="95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注    射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选充盈静脉，由远心端开始，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垫枕扎止血带（穿刺点上6cm）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嘱病人握拳，消毒皮肤：</w:t>
                              </w:r>
                            </w:p>
                            <w:p>
                              <w:pPr>
                                <w:ind w:left="2709" w:leftChars="12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常规消毒，螺旋式，由内至外，直径5cm以上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核对抽取药液，排尽空气</w:t>
                              </w:r>
                            </w:p>
                            <w:p>
                              <w:pPr>
                                <w:ind w:left="2709" w:leftChars="12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绷紧皮肤进针：与皮肤表面成20~30°角，见有回血，固定针栓，松拳，松止血带注药（缓慢），观察反应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按压拔针，（用干棉签）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再次核对 </w:t>
                              </w:r>
                            </w:p>
                            <w:p>
                              <w:pPr>
                                <w:ind w:firstLine="2700" w:firstLineChars="15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协助病人躺好整理床单位</w:t>
                              </w:r>
                            </w:p>
                            <w:p>
                              <w:pPr>
                                <w:ind w:firstLine="3060" w:firstLineChars="17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36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清理用物并归回原处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ind w:firstLine="36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4"/>
                        <wps:cNvSpPr/>
                        <wps:spPr>
                          <a:xfrm>
                            <a:off x="7350" y="352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5"/>
                        <wps:cNvSpPr/>
                        <wps:spPr>
                          <a:xfrm>
                            <a:off x="7350" y="430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6"/>
                        <wps:cNvSpPr/>
                        <wps:spPr>
                          <a:xfrm>
                            <a:off x="7350" y="5241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7"/>
                        <wps:cNvSpPr/>
                        <wps:spPr>
                          <a:xfrm>
                            <a:off x="7350" y="7425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8"/>
                        <wps:cNvSpPr/>
                        <wps:spPr>
                          <a:xfrm>
                            <a:off x="7350" y="8361"/>
                            <a:ext cx="0" cy="3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9"/>
                        <wps:cNvSpPr/>
                        <wps:spPr>
                          <a:xfrm>
                            <a:off x="7350" y="12729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98.75pt;margin-top:0.15pt;height:522.6pt;width:270pt;z-index:251677696;mso-width-relative:page;mso-height-relative:page;" coordorigin="4650,3213" coordsize="5400,10452" o:gfxdata="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SiHM42AAAAAkBAAAPAAAAAAAAAAEAIAAAACIAAABk&#10;cnMvZG93bnJldi54bWxQSwECFAAUAAAACACHTuJAwDeqrSMDAABaEAAADgAAAAAAAAABACAAAAAn&#10;AQAAZHJzL2Uyb0RvYy54bWxQSwUGAAAAAAYABgBZAQAAvAYAAAAA&#10;">
                <o:lock v:ext="edit" aspectratio="f"/>
                <v:shape id="文本框 3" o:spid="_x0000_s1026" o:spt="202" type="#_x0000_t202" style="position:absolute;left:4650;top:3213;height:10452;width:5400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310" w:firstLineChars="1100"/>
                        </w:pPr>
                        <w:r>
                          <w:rPr>
                            <w:rFonts w:hint="eastAsia"/>
                          </w:rPr>
                          <w:t>评估</w:t>
                        </w:r>
                      </w:p>
                      <w:p>
                        <w:pPr>
                          <w:ind w:firstLine="2205" w:firstLineChars="1050"/>
                        </w:pPr>
                      </w:p>
                      <w:p>
                        <w:r>
                          <w:rPr>
                            <w:rFonts w:hint="eastAsia"/>
                          </w:rPr>
                          <w:t xml:space="preserve">                     核   对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注射单及医嘱：病人床号、姓名、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           药名、剂量、浓度、用法、时间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 xml:space="preserve">                    备齐用物</w:t>
                        </w:r>
                      </w:p>
                      <w:p>
                        <w:pPr>
                          <w:ind w:firstLine="450" w:firstLineChars="2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核对药液标签：          注射盘：铺无菌盘，抽取药液</w:t>
                        </w:r>
                      </w:p>
                      <w:p>
                        <w:pPr>
                          <w:ind w:firstLine="810" w:firstLineChars="4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药名、剂量、浓度、    放无菌盘内，并携至病人床边         </w:t>
                        </w:r>
                      </w:p>
                      <w:p>
                        <w:pPr>
                          <w:ind w:firstLine="810" w:firstLineChars="4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有效期                             </w:t>
                        </w:r>
                      </w:p>
                      <w:p>
                        <w:pPr>
                          <w:ind w:left="3330" w:hanging="3330" w:hangingChars="18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检查：瓶身、安瓿有无</w:t>
                        </w:r>
                      </w:p>
                      <w:p>
                        <w:pPr>
                          <w:ind w:firstLine="900" w:firstLineChars="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破损，配伍禁忌，</w:t>
                        </w:r>
                      </w:p>
                      <w:p>
                        <w:pPr>
                          <w:ind w:firstLine="900" w:firstLineChars="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药液有无变质  </w:t>
                        </w:r>
                      </w:p>
                      <w:p>
                        <w:pPr>
                          <w:ind w:firstLine="1890" w:firstLineChars="10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病人准备</w:t>
                        </w:r>
                      </w:p>
                      <w:p>
                        <w:pPr>
                          <w:ind w:left="3334" w:leftChars="602" w:hanging="2070" w:hangingChars="11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核对、解释</w:t>
                        </w:r>
                      </w:p>
                      <w:p>
                        <w:pPr>
                          <w:ind w:firstLine="450" w:firstLineChars="25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ind w:firstLine="1995" w:firstLineChars="950"/>
                        </w:pPr>
                        <w:r>
                          <w:rPr>
                            <w:rFonts w:hint="eastAsia"/>
                          </w:rPr>
                          <w:t xml:space="preserve"> 注    射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选充盈静脉，由远心端开始，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垫枕扎止血带（穿刺点上6cm）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嘱病人握拳，消毒皮肤：</w:t>
                        </w:r>
                      </w:p>
                      <w:p>
                        <w:pPr>
                          <w:ind w:left="2709" w:leftChars="12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常规消毒，螺旋式，由内至外，直径5cm以上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核对抽取药液，排尽空气</w:t>
                        </w:r>
                      </w:p>
                      <w:p>
                        <w:pPr>
                          <w:ind w:left="2709" w:leftChars="12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绷紧皮肤进针：与皮肤表面成20~30°角，见有回血，固定针栓，松拳，松止血带注药（缓慢），观察反应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按压拔针，（用干棉签）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再次核对 </w:t>
                        </w:r>
                      </w:p>
                      <w:p>
                        <w:pPr>
                          <w:ind w:firstLine="2700" w:firstLineChars="1500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 xml:space="preserve"> 协助病人躺好整理床单位</w:t>
                        </w:r>
                      </w:p>
                      <w:p>
                        <w:pPr>
                          <w:ind w:firstLine="3060" w:firstLineChars="17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            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36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清理用物并归回原处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  <w:p>
                        <w:pPr>
                          <w:ind w:firstLine="360"/>
                        </w:pP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线 4" o:spid="_x0000_s1026" o:spt="20" style="position:absolute;left:7350;top:3525;height:468;width: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" o:spid="_x0000_s1026" o:spt="20" style="position:absolute;left:7350;top:4305;height:468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" o:spid="_x0000_s1026" o:spt="20" style="position:absolute;left:7350;top:5241;height:1560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" o:spid="_x0000_s1026" o:spt="20" style="position:absolute;left:7350;top:7425;height:624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7350;top:8361;height:3900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7350;top:12729;height:624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2134235" cy="8456930"/>
                <wp:effectExtent l="0" t="0" r="0" b="0"/>
                <wp:wrapNone/>
                <wp:docPr id="9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845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操作前交流：(看床头卡) “您好!请告诉我你的床号和姓名好吗? ……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现在感觉怎么样？……根据您的病情及现在的症状，遵医嘱需要给您静脉注射葡萄糖酸钙，它的作用是抗过敏，能够迅速发挥药效，皮疹和瘙痒很快就会消退。……您不要担心，我会做到一针成功。……您想在哪只手进行注射?右手吗?让我看一下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的血管情况……这根血管可以吗? ……好，就选择这。我去准备一下物品，一会儿见。”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操作中交流：“张先生，请再说一遍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的名字好吗? ……张立，对吗？请把右手放这儿……现在给您扎止血带，请握拳……好了，请您松拳，我现在慢慢推药，您如果有不适请告诉我。放松些，不要担心。(边推药，边观察，边解释。)好了，您按这儿3-5分钟，待会儿针眼贴扔在这只污物袋内，谢谢您的配合。” （摘口罩）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后交流：“张先生，您感觉怎么样……荨麻疹是一种常见病，只要按医嘱用药，症状很快就会消退。这些天您不要吃海鲜或辛辣刺激的食物，可以吃一些清淡的；洗澡时不要用碱性较强的肥皂，注意保护皮肤。您好好休息，一会儿见。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-9pt;margin-top:3.1pt;height:665.9pt;width:168.05pt;z-index:251604992;mso-width-relative:page;mso-height-relative:page;" filled="f" stroked="f" coordsize="21600,21600" o:gfxdata="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DENsHXAAAACgEAAA8AAAAAAAAAAQAg&#10;AAAAIgAAAGRycy9kb3ducmV2LnhtbFBLAQIUABQAAAAIAIdO4kAd0RC3nQEAAAw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操作前交流：(看床头卡) “您好!请告诉我你的床号和姓名好吗? ……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现在感觉怎么样？……根据您的病情及现在的症状，遵医嘱需要给您静脉注射葡萄糖酸钙，它的作用是抗过敏，能够迅速发挥药效，皮疹和瘙痒很快就会消退。……您不要担心，我会做到一针成功。……您想在哪只手进行注射?右手吗?让我看一下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的血管情况……这根血管可以吗? ……好，就选择这。我去准备一下物品，一会儿见。”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操作中交流：“张先生，请再说一遍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的名字好吗? ……张立，对吗？请把右手放这儿……现在给您扎止血带，请握拳……好了，请您松拳，我现在慢慢推药，您如果有不适请告诉我。放松些，不要担心。(边推药，边观察，边解释。)好了，您按这儿3-5分钟，待会儿针眼贴扔在这只污物袋内，谢谢您的配合。” （摘口罩）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后交流：“张先生，您感觉怎么样……荨麻疹是一种常见病，只要按医嘱用药，症状很快就会消退。这些天您不要吃海鲜或辛辣刺激的食物，可以吃一些清淡的；洗澡时不要用碱性较强的肥皂，注意保护皮肤。您好好休息，一会儿见。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（三）静脉输液考核评分标准</w:t>
      </w:r>
    </w:p>
    <w:tbl>
      <w:tblPr>
        <w:tblStyle w:val="6"/>
        <w:tblW w:w="9933" w:type="dxa"/>
        <w:jc w:val="center"/>
        <w:tblInd w:w="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85"/>
        <w:gridCol w:w="18"/>
        <w:gridCol w:w="653"/>
        <w:gridCol w:w="18"/>
        <w:gridCol w:w="4070"/>
        <w:gridCol w:w="18"/>
        <w:gridCol w:w="681"/>
        <w:gridCol w:w="18"/>
        <w:gridCol w:w="2687"/>
        <w:gridCol w:w="49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dxa"/>
            <w:gridSpan w:val="3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1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项  目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355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要     求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标准分值</w:t>
            </w:r>
          </w:p>
        </w:tc>
        <w:tc>
          <w:tcPr>
            <w:tcW w:w="2687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542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扣分说明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79" w:type="dxa"/>
            <w:gridSpan w:val="3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  表</w:t>
            </w:r>
          </w:p>
        </w:tc>
        <w:tc>
          <w:tcPr>
            <w:tcW w:w="671" w:type="dxa"/>
            <w:gridSpan w:val="2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88" w:type="dxa"/>
            <w:gridSpan w:val="2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仪态端庄，服装、鞋帽整洁</w:t>
            </w:r>
          </w:p>
        </w:tc>
        <w:tc>
          <w:tcPr>
            <w:tcW w:w="699" w:type="dxa"/>
            <w:gridSpan w:val="2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7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一项不符全扣</w:t>
            </w:r>
          </w:p>
        </w:tc>
        <w:tc>
          <w:tcPr>
            <w:tcW w:w="509" w:type="dxa"/>
            <w:gridSpan w:val="2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088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核对：两人核对医嘱单、注射卡，查对需静脉注射患者的姓名、床号、药名、剂量、浓度、时间、用法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患者</w:t>
            </w:r>
            <w:r>
              <w:rPr>
                <w:rFonts w:hint="eastAsia" w:ascii="宋体" w:hAnsi="宋体"/>
                <w:sz w:val="18"/>
                <w:szCs w:val="18"/>
              </w:rPr>
              <w:t>：病情、年龄、治疗情况，对药物的反应及“三史”，生命体征，注射部位皮肤有无疤痕、感染、静脉是否显露、有无炎症和肢体的活动情况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环境</w:t>
            </w:r>
            <w:r>
              <w:rPr>
                <w:rFonts w:hint="eastAsia" w:ascii="宋体" w:hAnsi="宋体"/>
                <w:sz w:val="18"/>
                <w:szCs w:val="18"/>
              </w:rPr>
              <w:t>：是否清洁、安静，光线是否充足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用物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：用物是否在灭菌有效期内，药物的名称、剂量、浓度、质量、是否在有效期内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自身：着装，对所用药物的基本知识是否了解</w:t>
            </w:r>
          </w:p>
        </w:tc>
        <w:tc>
          <w:tcPr>
            <w:tcW w:w="69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未评估患者扣3分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余</w:t>
            </w:r>
            <w:r>
              <w:rPr>
                <w:rFonts w:ascii="宋体" w:hAnsi="宋体"/>
                <w:sz w:val="18"/>
                <w:szCs w:val="18"/>
              </w:rPr>
              <w:t>评估不完全酌情扣分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评估用物可于准备用物时检查评估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准备时也未检查者扣除该项分</w:t>
            </w:r>
          </w:p>
        </w:tc>
        <w:tc>
          <w:tcPr>
            <w:tcW w:w="491" w:type="dxa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1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准备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088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护士：修剪长指甲，洗手、戴口罩，熟悉所用药物的基本知识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用物：根据医嘱查对药物的名称、剂量、浓度、用法和质量。备齐用物，放置合理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患者：核对、解释，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摆好体位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环境：清洁操作面和用物，光线充足</w:t>
            </w:r>
          </w:p>
        </w:tc>
        <w:tc>
          <w:tcPr>
            <w:tcW w:w="69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一项不符全扣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用物缺一项扣1分；操作面及用物不整洁扣2分；核对缺一项扣1分；放置不合理扣1分，扣完为止，未解释扣2分，余</w:t>
            </w:r>
            <w:r>
              <w:rPr>
                <w:rFonts w:ascii="宋体" w:hAnsi="宋体"/>
                <w:sz w:val="18"/>
                <w:szCs w:val="18"/>
              </w:rPr>
              <w:t>酌情扣分</w:t>
            </w:r>
          </w:p>
        </w:tc>
        <w:tc>
          <w:tcPr>
            <w:tcW w:w="491" w:type="dxa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过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70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抽吸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药液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088" w:type="dxa"/>
            <w:gridSpan w:val="2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铺无菌盘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再次检查药物名称、剂量、浓度和检查药液质量，注意有无过期、密封情况；安瓿有无裂缝、药液的颜色、澄明度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消毒安瓿（密封瓶）、砂轮，安瓿锯痕、用75%酒精去玻璃碎屑，用无菌纱布包好折断安瓿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检查注射器包装、批号、有效期或灭菌日期后打开，吸药液至所需要的量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回抽活塞，排尽排气，将安瓿套于针头上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再次核对注射卡、安瓿，操作者签名。将抽吸好药液置于无菌盘内，洗手</w:t>
            </w:r>
          </w:p>
        </w:tc>
        <w:tc>
          <w:tcPr>
            <w:tcW w:w="699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未铺盘扣2分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检查内容缺一项扣1分，扣完为止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消毒方法不正确扣2分，污染一次全扣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所吸药液余留、渗漏或药量不准扣2分/项，余</w:t>
            </w:r>
            <w:r>
              <w:rPr>
                <w:rFonts w:ascii="宋体" w:hAnsi="宋体"/>
                <w:kern w:val="0"/>
                <w:sz w:val="18"/>
                <w:szCs w:val="18"/>
              </w:rPr>
              <w:t>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排气浪费药液或倒流扣2分/项，余</w:t>
            </w:r>
            <w:r>
              <w:rPr>
                <w:rFonts w:ascii="宋体" w:hAnsi="宋体"/>
                <w:kern w:val="0"/>
                <w:sz w:val="18"/>
                <w:szCs w:val="18"/>
              </w:rPr>
              <w:t>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未核对全扣；余缺一项扣1分，扣完为止</w:t>
            </w:r>
          </w:p>
        </w:tc>
        <w:tc>
          <w:tcPr>
            <w:tcW w:w="50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进针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088" w:type="dxa"/>
            <w:gridSpan w:val="2"/>
          </w:tcPr>
          <w:p>
            <w:pPr>
              <w:adjustRightInd w:val="0"/>
              <w:snapToGrid w:val="0"/>
              <w:spacing w:line="300" w:lineRule="exact"/>
              <w:ind w:left="270" w:hanging="270" w:hangingChars="1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1、再次核对床号、姓名，与患者交流，告之注意事项</w:t>
            </w:r>
          </w:p>
          <w:p>
            <w:pPr>
              <w:adjustRightInd w:val="0"/>
              <w:snapToGrid w:val="0"/>
              <w:spacing w:line="300" w:lineRule="exact"/>
              <w:ind w:left="180" w:hanging="180" w:hangingChars="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2、选择并安置合适的体位，暴露注射部位，垫枕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保暖，备胶布</w:t>
            </w:r>
          </w:p>
          <w:p>
            <w:pPr>
              <w:adjustRightInd w:val="0"/>
              <w:snapToGrid w:val="0"/>
              <w:spacing w:line="300" w:lineRule="exact"/>
              <w:ind w:left="270" w:hanging="270" w:hangingChars="1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3、选择合适的静脉，在穿刺部位上6cm处系止血带，常规消毒皮肤待干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4、检查并连接头皮针，排气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5、再次查对药名、剂量、浓度、时间、用法</w:t>
            </w:r>
          </w:p>
          <w:p>
            <w:pPr>
              <w:adjustRightInd w:val="0"/>
              <w:snapToGrid w:val="0"/>
              <w:spacing w:line="300" w:lineRule="exact"/>
              <w:ind w:left="270" w:hanging="270" w:hangingChars="1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6、嘱患者握拳，边与患者交谈，绷紧皮肤，针头斜面向上，与皮肤成20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角，从静脉上方或侧方刺入皮肤，再沿静脉方向潜行刺入，见回血，再顺静脉进针少许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7、松止血带，松拳，胶布固定针柄</w:t>
            </w:r>
          </w:p>
        </w:tc>
        <w:tc>
          <w:tcPr>
            <w:tcW w:w="699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ind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未与患者交流、未交代注意事项扣2分/项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体位不当、未正确暴露、未注意保暖扣2分； 未备胶布扣1分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静脉选择，消毒方法、范围不当扣2分；定位不当扣4分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未检查针头、未排气扣2分/项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未查对扣2分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退针一次扣</w:t>
            </w: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分；进针角度不当扣2分；余扣1分/项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缺项扣1分/项</w:t>
            </w:r>
          </w:p>
        </w:tc>
        <w:tc>
          <w:tcPr>
            <w:tcW w:w="50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推药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88" w:type="dxa"/>
            <w:gridSpan w:val="2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抽回血，缓慢注入药液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边推药液，边与患者交流，注意观察表情反应，同时询问患者感受</w:t>
            </w:r>
          </w:p>
        </w:tc>
        <w:tc>
          <w:tcPr>
            <w:tcW w:w="699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  <w:p>
            <w:pPr>
              <w:adjustRightInd w:val="0"/>
              <w:snapToGrid w:val="0"/>
              <w:spacing w:line="300" w:lineRule="exact"/>
              <w:ind w:left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未抽回血、推药速度不当、药量不准、扣1分/项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未交流、未观察扣1分/项</w:t>
            </w:r>
          </w:p>
        </w:tc>
        <w:tc>
          <w:tcPr>
            <w:tcW w:w="50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拔针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88" w:type="dxa"/>
            <w:gridSpan w:val="2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注射完毕，撕胶布，干棉签顺向按压穿刺处皮肤，迅速拔出针头，观察患者表情反应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再次核对注射卡和安瓿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取出小枕、止血带</w:t>
            </w:r>
          </w:p>
        </w:tc>
        <w:tc>
          <w:tcPr>
            <w:tcW w:w="699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步骤缺一项、按压穿刺点方法不正确、未观察扣2分/项，扣完为止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未核对扣2分，步骤缺一项扣1分，扣完为止</w:t>
            </w:r>
          </w:p>
        </w:tc>
        <w:tc>
          <w:tcPr>
            <w:tcW w:w="50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操作后处理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088" w:type="dxa"/>
            <w:gridSpan w:val="2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助患者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整理好衣服、床单位，安置患者合适体位，与其交流感受并致谢患者配合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洗手、脱口罩，根据患者具体情况进行健康教育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正确处理用物（浸泡、毁形）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按需记录注射时间，签名</w:t>
            </w:r>
          </w:p>
        </w:tc>
        <w:tc>
          <w:tcPr>
            <w:tcW w:w="699" w:type="dxa"/>
            <w:gridSpan w:val="2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未与患者交流扣2分，余步骤缺一项扣1分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污物处理不正确扣2分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</w:tc>
        <w:tc>
          <w:tcPr>
            <w:tcW w:w="50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2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终末评价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088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 w:hanging="180" w:hangingChars="100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</w:t>
            </w:r>
            <w:r>
              <w:rPr>
                <w:rFonts w:ascii="宋体" w:hAnsi="宋体"/>
                <w:sz w:val="18"/>
                <w:szCs w:val="18"/>
              </w:rPr>
              <w:t>操作过程以患者为中心，</w:t>
            </w:r>
            <w:r>
              <w:rPr>
                <w:rFonts w:hint="eastAsia" w:ascii="宋体" w:hAnsi="宋体"/>
                <w:sz w:val="18"/>
                <w:szCs w:val="18"/>
              </w:rPr>
              <w:t>关心体贴患者，向患者解释耐心、语言恰当，合理运用非语言沟通技巧，询问患者感受，指导患者配合有效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 w:hanging="180" w:hangingChars="100"/>
              <w:jc w:val="both"/>
              <w:textAlignment w:val="top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2、动作轻巧稳重，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能按无痛注射法进行操作，无不良反应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患者</w:t>
            </w:r>
            <w:r>
              <w:rPr>
                <w:rFonts w:ascii="宋体" w:hAnsi="宋体"/>
                <w:sz w:val="18"/>
                <w:szCs w:val="18"/>
              </w:rPr>
              <w:t>对操作满意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3、无菌概念明确、无污染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4、操作熟练有序（6min内完成）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5、正确、灵活处置临床情境变化，有创新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6、回答相关问题正确、全面</w:t>
            </w:r>
          </w:p>
        </w:tc>
        <w:tc>
          <w:tcPr>
            <w:tcW w:w="699" w:type="dxa"/>
            <w:gridSpan w:val="2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/>
              <w:jc w:val="left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687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解释不当扣3分，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无菌概念明确，污染一次扣5分；每超过30s扣1分；退针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次及以上、穿刺失败、药液外渗扣10分；余酌情扣分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未核对患者或错误，无菌概念不明确并污染两次或使用过期物品，该项考试判为“不及格”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Ⅳ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lang w:eastAsia="zh-CN"/>
        </w:rPr>
        <w:t>回示</w:t>
      </w:r>
      <w:r>
        <w:rPr>
          <w:rFonts w:hint="eastAsia" w:ascii="宋体" w:hAnsi="宋体"/>
          <w:sz w:val="21"/>
          <w:szCs w:val="21"/>
        </w:rPr>
        <w:t>学生操作</w:t>
      </w:r>
      <w:r>
        <w:rPr>
          <w:rFonts w:hint="eastAsia" w:ascii="宋体" w:hAnsi="宋体"/>
          <w:sz w:val="21"/>
          <w:szCs w:val="21"/>
          <w:lang w:eastAsia="zh-CN"/>
        </w:rPr>
        <w:t>，学生共同讨论</w:t>
      </w:r>
      <w:r>
        <w:rPr>
          <w:rFonts w:hint="eastAsia" w:ascii="宋体" w:hAnsi="宋体"/>
          <w:sz w:val="21"/>
          <w:szCs w:val="21"/>
          <w:lang w:val="en-US" w:eastAsia="zh-CN"/>
        </w:rPr>
        <w:t>(12分钟)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Ⅴ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教师</w:t>
      </w:r>
      <w:r>
        <w:rPr>
          <w:rFonts w:hint="eastAsia" w:ascii="宋体" w:hAnsi="宋体"/>
          <w:sz w:val="21"/>
          <w:szCs w:val="21"/>
          <w:lang w:eastAsia="zh-CN"/>
        </w:rPr>
        <w:t>总结</w:t>
      </w:r>
      <w:r>
        <w:rPr>
          <w:rFonts w:hint="eastAsia" w:ascii="宋体" w:hAnsi="宋体"/>
          <w:sz w:val="21"/>
          <w:szCs w:val="21"/>
          <w:lang w:val="en-US" w:eastAsia="zh-CN"/>
        </w:rPr>
        <w:t>(5分组)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Ⅵ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每组组长整理、清点、归还操作物品</w:t>
      </w:r>
      <w:r>
        <w:rPr>
          <w:rFonts w:hint="eastAsia" w:ascii="宋体" w:hAnsi="宋体"/>
          <w:sz w:val="21"/>
          <w:szCs w:val="21"/>
          <w:lang w:val="en-US" w:eastAsia="zh-CN"/>
        </w:rPr>
        <w:t>(5分钟)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Ⅶ.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布置作业（1分钟）</w:t>
      </w:r>
    </w:p>
    <w:p>
      <w:pPr>
        <w:tabs>
          <w:tab w:val="left" w:pos="1455"/>
        </w:tabs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要求学生针对自己的操作练习情况，及时复习、补缺补差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9D68"/>
    <w:multiLevelType w:val="singleLevel"/>
    <w:tmpl w:val="59F29D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42AC"/>
    <w:rsid w:val="1FF1612E"/>
    <w:rsid w:val="23D94C77"/>
    <w:rsid w:val="250D30B3"/>
    <w:rsid w:val="2DC72F97"/>
    <w:rsid w:val="2FA7277A"/>
    <w:rsid w:val="4332790C"/>
    <w:rsid w:val="4ECC6961"/>
    <w:rsid w:val="50340FDA"/>
    <w:rsid w:val="5C3901F8"/>
    <w:rsid w:val="63AC097F"/>
    <w:rsid w:val="710F3158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